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5655BB"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8E2F145" w:rsidR="006937DF" w:rsidRPr="00DA2248" w:rsidRDefault="00DE76C7" w:rsidP="00093CA9">
            <w:pPr>
              <w:rPr>
                <w:lang w:val="sv-SE"/>
              </w:rPr>
            </w:pPr>
            <w:r>
              <w:rPr>
                <w:lang w:val="sv-SE"/>
              </w:rPr>
              <w:t>EMSI</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F0C4B7D" w:rsidR="00093CA9" w:rsidRDefault="00DA2248" w:rsidP="00093CA9">
            <w:r>
              <w:t>Kenya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2AEC579" w:rsidR="00093CA9" w:rsidRDefault="0063137D" w:rsidP="00093CA9">
            <w:r w:rsidRPr="0063137D">
              <w:t>Kenyan Green Finance Taxonomy</w:t>
            </w:r>
            <w:r w:rsidR="006D21B5">
              <w:t>, 2025</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0610B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D66249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FCACB1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4D1A15B" w:rsidR="00093CA9" w:rsidRDefault="00426C60"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278F165"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7EB202E" w14:textId="228F9C78" w:rsidR="006D21B5" w:rsidRDefault="00B516A8" w:rsidP="006D21B5">
            <w:r>
              <w:t xml:space="preserve">The Kenya </w:t>
            </w:r>
            <w:r w:rsidR="006D21B5">
              <w:t>Green Finance Taxonomy</w:t>
            </w:r>
            <w:r>
              <w:t xml:space="preserve"> </w:t>
            </w:r>
            <w:r w:rsidR="006D21B5">
              <w:t>is intended to deliver a range of benefits to the Kenyan economy including:</w:t>
            </w:r>
          </w:p>
          <w:p w14:paraId="058E972D" w14:textId="43B8E80E" w:rsidR="006D21B5" w:rsidRDefault="006D21B5" w:rsidP="00B516A8">
            <w:pPr>
              <w:pStyle w:val="ListParagraph"/>
              <w:numPr>
                <w:ilvl w:val="0"/>
                <w:numId w:val="49"/>
              </w:numPr>
            </w:pPr>
            <w:r>
              <w:t>Serve as a reference for Kenya’s transition to being a green economy. It will increase the consistency of green finance flows and align green products and financial allocations with internationally recognised standards.</w:t>
            </w:r>
          </w:p>
          <w:p w14:paraId="2129D88A" w14:textId="0455A0A6" w:rsidR="006D21B5" w:rsidRDefault="006D21B5" w:rsidP="00B516A8">
            <w:pPr>
              <w:pStyle w:val="ListParagraph"/>
              <w:numPr>
                <w:ilvl w:val="0"/>
                <w:numId w:val="49"/>
              </w:numPr>
            </w:pPr>
            <w:r>
              <w:t>Enhance confidence of the users that taxonomically aligned economic activities meet a high threshold of commitment to climate change and support Kenya’s trajectory towards a sustainable economy.</w:t>
            </w:r>
          </w:p>
          <w:p w14:paraId="042A82C0" w14:textId="629A797C" w:rsidR="006D21B5" w:rsidRDefault="006D21B5" w:rsidP="00B516A8">
            <w:pPr>
              <w:pStyle w:val="ListParagraph"/>
              <w:numPr>
                <w:ilvl w:val="0"/>
                <w:numId w:val="49"/>
              </w:numPr>
            </w:pPr>
            <w:r>
              <w:t>Guide the financial sector with clarity and certainty in selecting green investments in line with international best practice.</w:t>
            </w:r>
          </w:p>
          <w:p w14:paraId="44180508" w14:textId="4472FC76" w:rsidR="006D21B5" w:rsidRDefault="006D21B5" w:rsidP="00B516A8">
            <w:pPr>
              <w:pStyle w:val="ListParagraph"/>
              <w:numPr>
                <w:ilvl w:val="0"/>
                <w:numId w:val="49"/>
              </w:numPr>
            </w:pPr>
            <w:r>
              <w:t>Being a tool for effective communication. The taxonomy establishes a shared language and enables transparent performance tracking and reporting.</w:t>
            </w:r>
          </w:p>
          <w:p w14:paraId="709ED0D1" w14:textId="3EA7F6E8" w:rsidR="006D21B5" w:rsidRDefault="006D21B5" w:rsidP="00B516A8">
            <w:pPr>
              <w:pStyle w:val="ListParagraph"/>
              <w:numPr>
                <w:ilvl w:val="0"/>
                <w:numId w:val="49"/>
              </w:numPr>
            </w:pPr>
            <w:r>
              <w:t>Reduces the costs associated with identifying which green investment is green and which is not.</w:t>
            </w:r>
          </w:p>
          <w:p w14:paraId="0B73A98D" w14:textId="77777777" w:rsidR="00093CA9" w:rsidRDefault="006D21B5" w:rsidP="00B516A8">
            <w:pPr>
              <w:pStyle w:val="ListParagraph"/>
              <w:numPr>
                <w:ilvl w:val="0"/>
                <w:numId w:val="49"/>
              </w:numPr>
            </w:pPr>
            <w:r>
              <w:t>Increase trade and the flow of international capital because of the existing consistency between definitions with other taxonomies. This ultimately unlocks significant investment opportunities for Kenya in a broad range of green and climate-friendly assets. This will help to supplement public funding for climate mitigation and adaptation initiatives.</w:t>
            </w:r>
          </w:p>
          <w:p w14:paraId="18257824" w14:textId="04CE40D6" w:rsidR="003A18D3" w:rsidRDefault="003A18D3" w:rsidP="003A18D3">
            <w:r w:rsidRPr="003A18D3">
              <w:t>The KGFT will provide a common language and criteria that will support coordination and cohesion among the banking sector and its beneficiaries to identify investment opportunities that are environmentally sustainable. This is done through managing environmental risks and knowing the activities that will enable Kenya to acquire an equitable, resilient, low-carbon green economy.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B547EBB" w:rsidR="00093CA9" w:rsidRDefault="001C5E1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lastRenderedPageBreak/>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DE9CA17" w:rsidR="00093CA9" w:rsidRPr="00173D7C" w:rsidRDefault="001C5E11"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88C156B" w:rsidR="00093CA9" w:rsidRPr="00173D7C" w:rsidRDefault="001C5E11"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DD7900B" w:rsidR="00093CA9" w:rsidRDefault="001C5E11" w:rsidP="00093CA9">
            <w:r>
              <w:t>Central Bank of Kenya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2A8C02A" w:rsidR="00093CA9" w:rsidRPr="006B7B0D" w:rsidRDefault="001C5E11" w:rsidP="00093CA9">
            <w:r>
              <w:t>Central Bank of Kenya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EE0D356" w:rsidR="00093CA9" w:rsidRPr="006B7B0D" w:rsidRDefault="001C5E1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2188068" w:rsidR="00093CA9" w:rsidRDefault="001C5E1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14EF06D5" w14:textId="0323555F" w:rsidR="00093CA9" w:rsidRDefault="001C5E11" w:rsidP="00093CA9">
            <w:pPr>
              <w:keepNext/>
              <w:rPr>
                <w:color w:val="000000" w:themeColor="text1"/>
              </w:rPr>
            </w:pPr>
            <w:r>
              <w:rPr>
                <w:color w:val="000000" w:themeColor="text1"/>
              </w:rPr>
              <w:t>Chapter 5 addresses reporting obligations and records as follows:</w:t>
            </w:r>
          </w:p>
          <w:p w14:paraId="6B64668A" w14:textId="77777777" w:rsidR="001C5E11" w:rsidRDefault="001C5E11" w:rsidP="00093CA9">
            <w:pPr>
              <w:keepNext/>
              <w:rPr>
                <w:color w:val="000000" w:themeColor="text1"/>
              </w:rPr>
            </w:pPr>
          </w:p>
          <w:p w14:paraId="51AE3C79" w14:textId="3065E9C0" w:rsidR="001C5E11" w:rsidRPr="001C5E11" w:rsidRDefault="001C5E11" w:rsidP="001C5E11">
            <w:pPr>
              <w:keepNext/>
              <w:rPr>
                <w:color w:val="000000" w:themeColor="text1"/>
              </w:rPr>
            </w:pPr>
            <w:r>
              <w:rPr>
                <w:color w:val="000000" w:themeColor="text1"/>
              </w:rPr>
              <w:t>The intention of the</w:t>
            </w:r>
            <w:r w:rsidRPr="001C5E11">
              <w:rPr>
                <w:color w:val="000000" w:themeColor="text1"/>
              </w:rPr>
              <w:t xml:space="preserve"> taxonomy </w:t>
            </w:r>
            <w:r>
              <w:rPr>
                <w:color w:val="000000" w:themeColor="text1"/>
              </w:rPr>
              <w:t xml:space="preserve">is </w:t>
            </w:r>
            <w:r w:rsidRPr="001C5E11">
              <w:rPr>
                <w:color w:val="000000" w:themeColor="text1"/>
              </w:rPr>
              <w:t>to encourage transparency through disclosure, including broader social and environmental impacts. While this document does not provide environmental and social performance indicators to be disclosed alongside those of taxonomic alignment, there are several resources which may be consulted to support assessment and disclosure against impact performance indicators. Included here is an inexhaustive list of options, acknowledging that different taxonomy users may have different requirements regarding activity-, company- and economy-level reporting requirements:</w:t>
            </w:r>
          </w:p>
          <w:p w14:paraId="189679F6" w14:textId="6E23E280" w:rsidR="001C5E11" w:rsidRPr="001C5E11" w:rsidRDefault="001C5E11" w:rsidP="001C5E11">
            <w:pPr>
              <w:pStyle w:val="ListParagraph"/>
              <w:keepNext/>
              <w:numPr>
                <w:ilvl w:val="0"/>
                <w:numId w:val="50"/>
              </w:numPr>
              <w:rPr>
                <w:color w:val="000000" w:themeColor="text1"/>
              </w:rPr>
            </w:pPr>
            <w:r w:rsidRPr="001C5E11">
              <w:rPr>
                <w:color w:val="000000" w:themeColor="text1"/>
              </w:rPr>
              <w:t>International Capital Market Association, June 2023 (or as updated) Green, Social and Sustainability Bonds: A High-Level Mapping to the Sustainable Development Goals [Online] Available at Green-Social-and-Sustainability-Bonds-A-High-Level-Mapping-to-the-Sustainable-Development-Goals-June-2023-220623.pdf</w:t>
            </w:r>
          </w:p>
          <w:p w14:paraId="0804F33C" w14:textId="6BEF7356" w:rsidR="001C5E11" w:rsidRPr="001C5E11" w:rsidRDefault="001C5E11" w:rsidP="001C5E11">
            <w:pPr>
              <w:pStyle w:val="ListParagraph"/>
              <w:keepNext/>
              <w:numPr>
                <w:ilvl w:val="0"/>
                <w:numId w:val="50"/>
              </w:numPr>
              <w:rPr>
                <w:color w:val="000000" w:themeColor="text1"/>
              </w:rPr>
            </w:pPr>
            <w:r w:rsidRPr="001C5E11">
              <w:rPr>
                <w:color w:val="000000" w:themeColor="text1"/>
              </w:rPr>
              <w:t>International Capital Market Association, June 2023 (or as updated) Harmonized Framework for Impact Reporting Handbook [Online] Available at https://www.icmagroup.org/sustainable-finance/impact-reporting/green-projects/</w:t>
            </w:r>
          </w:p>
          <w:p w14:paraId="3F472409" w14:textId="5A639635" w:rsidR="001C5E11" w:rsidRPr="001C5E11" w:rsidRDefault="001C5E11" w:rsidP="001C5E11">
            <w:pPr>
              <w:pStyle w:val="ListParagraph"/>
              <w:keepNext/>
              <w:numPr>
                <w:ilvl w:val="0"/>
                <w:numId w:val="50"/>
              </w:numPr>
              <w:rPr>
                <w:color w:val="000000" w:themeColor="text1"/>
              </w:rPr>
            </w:pPr>
            <w:r w:rsidRPr="001C5E11">
              <w:rPr>
                <w:color w:val="000000" w:themeColor="text1"/>
              </w:rPr>
              <w:t>International Capital Market Association, June 2023 (or as updated) Harmonised Framework for</w:t>
            </w:r>
            <w:r>
              <w:rPr>
                <w:color w:val="000000" w:themeColor="text1"/>
              </w:rPr>
              <w:t xml:space="preserve"> </w:t>
            </w:r>
            <w:r w:rsidRPr="001C5E11">
              <w:rPr>
                <w:color w:val="000000" w:themeColor="text1"/>
              </w:rPr>
              <w:t>Impact Reporting for Social Bonds [Online] Available at https://www.icmagroup.org/sustainable-finance/impact-reporting/social-projects</w:t>
            </w:r>
          </w:p>
          <w:p w14:paraId="7DD6A8D1" w14:textId="273E45C3" w:rsidR="001C5E11" w:rsidRPr="001C5E11" w:rsidRDefault="001C5E11" w:rsidP="001C5E11">
            <w:pPr>
              <w:pStyle w:val="ListParagraph"/>
              <w:keepNext/>
              <w:numPr>
                <w:ilvl w:val="0"/>
                <w:numId w:val="50"/>
              </w:numPr>
              <w:rPr>
                <w:color w:val="000000" w:themeColor="text1"/>
              </w:rPr>
            </w:pPr>
            <w:r w:rsidRPr="001C5E11">
              <w:rPr>
                <w:color w:val="000000" w:themeColor="text1"/>
              </w:rPr>
              <w:t>World Economic Forum (WEF), September 2020 Measuring Stakeholder Capitalism Towards Common Metrics and Consistent Reporting of Sustainable Value Creation, White Paper [Online]</w:t>
            </w:r>
          </w:p>
          <w:p w14:paraId="7E5A97E9" w14:textId="77777777" w:rsidR="001C5E11" w:rsidRDefault="001C5E11" w:rsidP="00093CA9">
            <w:pPr>
              <w:keepNext/>
              <w:rPr>
                <w:color w:val="000000" w:themeColor="text1"/>
              </w:rPr>
            </w:pPr>
          </w:p>
          <w:p w14:paraId="2C2128DB" w14:textId="54701C66" w:rsidR="001C5E11" w:rsidRPr="008017F9" w:rsidRDefault="001C5E11"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2A701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2A701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2A701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2A701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0D0565FC" w:rsidR="00D4323A" w:rsidRPr="00CF2E7C" w:rsidRDefault="001D10A8" w:rsidP="00CF2E7C">
            <w:pPr>
              <w:rPr>
                <w:rFonts w:ascii="Calibri" w:hAnsi="Calibri" w:cs="Calibri"/>
              </w:rPr>
            </w:pPr>
            <w:r>
              <w:rPr>
                <w:rFonts w:ascii="Calibri" w:hAnsi="Calibri" w:cs="Calibri"/>
              </w:rPr>
              <w:t>x</w:t>
            </w: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406B8DF4" w:rsidR="00D4323A" w:rsidRPr="00CF2E7C" w:rsidRDefault="001D10A8" w:rsidP="00CF2E7C">
            <w:pPr>
              <w:rPr>
                <w:rFonts w:ascii="Calibri" w:hAnsi="Calibri" w:cs="Calibri"/>
              </w:rPr>
            </w:pPr>
            <w:r>
              <w:rPr>
                <w:rFonts w:ascii="Calibri" w:hAnsi="Calibri" w:cs="Calibri"/>
              </w:rPr>
              <w:t>x</w:t>
            </w: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5B83AE69" w:rsidR="00D4323A" w:rsidRPr="00CF2E7C" w:rsidRDefault="00602DEF"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23262F25" w:rsidR="00D4323A" w:rsidRPr="00CF2E7C" w:rsidRDefault="001D10A8" w:rsidP="00CF2E7C">
            <w:pPr>
              <w:rPr>
                <w:rFonts w:ascii="Calibri" w:hAnsi="Calibri" w:cs="Calibri"/>
              </w:rPr>
            </w:pPr>
            <w:r>
              <w:rPr>
                <w:rFonts w:ascii="Calibri" w:hAnsi="Calibri" w:cs="Calibri"/>
              </w:rPr>
              <w:t>x</w:t>
            </w: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478C6614" w:rsidR="00DD292A" w:rsidRPr="00CF2E7C" w:rsidRDefault="001D10A8" w:rsidP="00CF2E7C">
            <w:pPr>
              <w:rPr>
                <w:rFonts w:ascii="Calibri" w:hAnsi="Calibri" w:cs="Calibri"/>
              </w:rPr>
            </w:pPr>
            <w:r>
              <w:rPr>
                <w:rFonts w:ascii="Calibri" w:hAnsi="Calibri" w:cs="Calibri"/>
              </w:rPr>
              <w:t>Page 18 records key users as banking sector actors as well as companies and project developers (</w:t>
            </w:r>
            <w:r w:rsidRPr="001D10A8">
              <w:rPr>
                <w:rFonts w:ascii="Calibri" w:hAnsi="Calibri" w:cs="Calibri"/>
              </w:rPr>
              <w:t>Includes companies and industry associations as potential corporate bond issuers and project developers</w:t>
            </w:r>
            <w:r>
              <w:rPr>
                <w:rFonts w:ascii="Calibri" w:hAnsi="Calibri" w:cs="Calibri"/>
              </w:rPr>
              <w:t>)</w:t>
            </w: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4D680247" w:rsidR="00DD292A" w:rsidRPr="00CF2E7C" w:rsidRDefault="007E22A5"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1BBEC0B1" w:rsidR="00DD292A" w:rsidRPr="00CF2E7C" w:rsidRDefault="006A4B5E"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FF304DD" w:rsidR="00DD292A" w:rsidRPr="00CF2E7C" w:rsidRDefault="006A4B5E"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290E85D4" w:rsidR="00DD292A" w:rsidRPr="00CF2E7C" w:rsidRDefault="006A4B5E"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2D30CD17" w:rsidR="00DD292A" w:rsidRPr="00CF2E7C" w:rsidRDefault="006A4B5E"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1D6435D2" w:rsidR="00DD292A" w:rsidRPr="00CF2E7C" w:rsidRDefault="007E22A5" w:rsidP="00CF2E7C">
            <w:pPr>
              <w:rPr>
                <w:rFonts w:ascii="Calibri" w:hAnsi="Calibri" w:cs="Calibri"/>
              </w:rPr>
            </w:pPr>
            <w:r>
              <w:rPr>
                <w:rFonts w:ascii="Calibri" w:hAnsi="Calibri" w:cs="Calibri"/>
              </w:rPr>
              <w:t>x</w:t>
            </w: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394B6B68" w:rsidR="00DD292A" w:rsidRPr="00CF2E7C" w:rsidRDefault="007E22A5" w:rsidP="00CF2E7C">
            <w:pPr>
              <w:rPr>
                <w:rFonts w:ascii="Calibri" w:hAnsi="Calibri" w:cs="Calibri"/>
              </w:rPr>
            </w:pPr>
            <w:r>
              <w:rPr>
                <w:rFonts w:ascii="Calibri" w:hAnsi="Calibri" w:cs="Calibri"/>
              </w:rPr>
              <w:t xml:space="preserve">Page 18 lists banking sector actors to include </w:t>
            </w:r>
            <w:r w:rsidRPr="007E22A5">
              <w:rPr>
                <w:rFonts w:ascii="Calibri" w:hAnsi="Calibri" w:cs="Calibri"/>
              </w:rPr>
              <w:t>commercial banks, national development banks, and banking sector associations</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4438B23D" w:rsidR="00DD292A" w:rsidRPr="00CF2E7C" w:rsidRDefault="006A4B5E" w:rsidP="00CF2E7C">
            <w:pPr>
              <w:rPr>
                <w:rFonts w:ascii="Calibri" w:hAnsi="Calibri" w:cs="Calibri"/>
              </w:rPr>
            </w:pPr>
            <w:r>
              <w:rPr>
                <w:rFonts w:ascii="Calibri" w:hAnsi="Calibri" w:cs="Calibri"/>
              </w:rPr>
              <w:t>x</w:t>
            </w: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4E1AA18E" w:rsidR="00DD292A" w:rsidRPr="00CF2E7C" w:rsidRDefault="006A4B5E" w:rsidP="00CF2E7C">
            <w:pPr>
              <w:rPr>
                <w:rFonts w:ascii="Calibri" w:hAnsi="Calibri" w:cs="Calibri"/>
              </w:rPr>
            </w:pPr>
            <w:r>
              <w:rPr>
                <w:rFonts w:ascii="Calibri" w:hAnsi="Calibri" w:cs="Calibri"/>
              </w:rPr>
              <w:t>x</w:t>
            </w: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lastRenderedPageBreak/>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63A9FCD5" w:rsidR="00DD292A" w:rsidRPr="00CF2E7C" w:rsidRDefault="006A4B5E" w:rsidP="00CF2E7C">
            <w:pPr>
              <w:rPr>
                <w:rFonts w:ascii="Calibri" w:hAnsi="Calibri" w:cs="Calibri"/>
              </w:rPr>
            </w:pPr>
            <w:r>
              <w:rPr>
                <w:rFonts w:ascii="Calibri" w:hAnsi="Calibri" w:cs="Calibri"/>
              </w:rPr>
              <w:t>Page 18 records key users as banking sector actors as well as companies and project developers (</w:t>
            </w:r>
            <w:r w:rsidRPr="001D10A8">
              <w:rPr>
                <w:rFonts w:ascii="Calibri" w:hAnsi="Calibri" w:cs="Calibri"/>
              </w:rPr>
              <w:t>Includes companies and industry associations as potential corporate bond issuers and project developers</w:t>
            </w:r>
            <w:r>
              <w:rPr>
                <w:rFonts w:ascii="Calibri" w:hAnsi="Calibri" w:cs="Calibri"/>
              </w:rPr>
              <w:t>)</w:t>
            </w:r>
            <w:r>
              <w:rPr>
                <w:rFonts w:ascii="Calibri" w:hAnsi="Calibri" w:cs="Calibri"/>
              </w:rPr>
              <w:t>x</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2A701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0B556CF2" w:rsidR="00DD292A" w:rsidRPr="00CF2E7C" w:rsidRDefault="006A4B5E"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3F0A18EE" w:rsidR="00DD3B33" w:rsidRPr="00CF2E7C" w:rsidRDefault="00BB28C5"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016B3B54" w:rsidR="00DD292A" w:rsidRPr="00CF2E7C" w:rsidRDefault="00BB28C5"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D30A907" w14:textId="3729C94B" w:rsidR="00DD292A" w:rsidRDefault="00BB28C5" w:rsidP="00CF2E7C">
            <w:pPr>
              <w:rPr>
                <w:rFonts w:ascii="Calibri" w:hAnsi="Calibri" w:cs="Calibri"/>
              </w:rPr>
            </w:pPr>
            <w:r>
              <w:rPr>
                <w:rFonts w:ascii="Calibri" w:hAnsi="Calibri" w:cs="Calibri"/>
              </w:rPr>
              <w:t>Policy tool was launched in April 2025 and is therefore relatively new.</w:t>
            </w:r>
            <w:r w:rsidR="002C56B8">
              <w:rPr>
                <w:rFonts w:ascii="Calibri" w:hAnsi="Calibri" w:cs="Calibri"/>
              </w:rPr>
              <w:t xml:space="preserve">  Page 42 records that </w:t>
            </w:r>
            <w:r w:rsidR="002C56B8" w:rsidRPr="002C56B8">
              <w:rPr>
                <w:rFonts w:ascii="Calibri" w:hAnsi="Calibri" w:cs="Calibri"/>
              </w:rPr>
              <w:t xml:space="preserve">the KGFT first edition is </w:t>
            </w:r>
            <w:r w:rsidR="002C56B8">
              <w:rPr>
                <w:rFonts w:ascii="Calibri" w:hAnsi="Calibri" w:cs="Calibri"/>
              </w:rPr>
              <w:t xml:space="preserve">a </w:t>
            </w:r>
            <w:r w:rsidR="002C56B8" w:rsidRPr="002C56B8">
              <w:rPr>
                <w:rFonts w:ascii="Calibri" w:hAnsi="Calibri" w:cs="Calibri"/>
              </w:rPr>
              <w:t>voluntary tool without a formal framework for enforcement. However, the CBK aims to allow for a period of voluntary uptake of disclosure and alignment according to the KGFT within the banking sector, ahead of mandatory regulation. The manner, structure and timeline of this regulation is still under review.</w:t>
            </w:r>
          </w:p>
          <w:p w14:paraId="496F7156" w14:textId="62E2C72F" w:rsidR="002C56B8" w:rsidRPr="00CF2E7C" w:rsidRDefault="002C56B8"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3100395B" w:rsidR="00DD292A" w:rsidRPr="00CF2E7C" w:rsidRDefault="00BB28C5"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0A52562" w:rsidR="00DD292A" w:rsidRPr="00CF2E7C" w:rsidRDefault="00BB28C5"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0A980BD4" w:rsidR="00410853" w:rsidRPr="00CF2E7C" w:rsidRDefault="00BB28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060A74CC" w:rsidR="00F632FB" w:rsidRPr="00CF2E7C" w:rsidRDefault="00BB28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5A2F731A" w:rsidR="00F632FB" w:rsidRPr="00CF2E7C" w:rsidRDefault="00BB28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95F80BD" w:rsidR="00F632FB" w:rsidRPr="00CF2E7C" w:rsidRDefault="00BB28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0FDAB9C4" w:rsidR="00F632FB" w:rsidRPr="00CF2E7C" w:rsidRDefault="00BB28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55154548" w:rsidR="008C4722" w:rsidRPr="00CF2E7C" w:rsidRDefault="00BB28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717A0DFD" w:rsidR="008C4722" w:rsidRPr="00CF2E7C" w:rsidRDefault="00BB28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2C0FB406" w:rsidR="008C4722" w:rsidRPr="00CF2E7C" w:rsidRDefault="00BB28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64BBF114"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F528AA" w14:textId="77777777" w:rsidR="008C4722" w:rsidRDefault="001309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Page 3</w:t>
            </w:r>
            <w:r w:rsidR="005D6848">
              <w:rPr>
                <w:rFonts w:ascii="Calibri" w:eastAsia="Times New Roman" w:hAnsi="Calibri" w:cs="Calibri"/>
                <w:kern w:val="0"/>
                <w:lang w:eastAsia="en-GB"/>
                <w14:ligatures w14:val="none"/>
              </w:rPr>
              <w:t>-4</w:t>
            </w:r>
            <w:r>
              <w:rPr>
                <w:rFonts w:ascii="Calibri" w:eastAsia="Times New Roman" w:hAnsi="Calibri" w:cs="Calibri"/>
                <w:kern w:val="0"/>
                <w:lang w:eastAsia="en-GB"/>
                <w14:ligatures w14:val="none"/>
              </w:rPr>
              <w:t xml:space="preserve"> recognises that </w:t>
            </w:r>
            <w:r w:rsidRPr="00130946">
              <w:rPr>
                <w:rFonts w:ascii="Calibri" w:eastAsia="Times New Roman" w:hAnsi="Calibri" w:cs="Calibri"/>
                <w:kern w:val="0"/>
                <w:lang w:eastAsia="en-GB"/>
                <w14:ligatures w14:val="none"/>
              </w:rPr>
              <w:t>Climate-related risks have assumed a significant position in financial risks in the financial sector. Crystalised climate-related risks can severely impact the safety and soundness of individual financial institutions and the entire financial system if not properly managed. Through its capital-allocation decisions, the financial sector in general, and in particular, the banking sector, can make substantial contribution towards effective climate change mitigation and adaptation through innovative financial solutions that channel capital in a sustainable manner.</w:t>
            </w:r>
          </w:p>
          <w:p w14:paraId="56F01C89" w14:textId="77777777" w:rsidR="005D6848" w:rsidRDefault="005D6848" w:rsidP="00CF2E7C">
            <w:pPr>
              <w:textAlignment w:val="baseline"/>
              <w:rPr>
                <w:rFonts w:ascii="Calibri" w:eastAsia="Times New Roman" w:hAnsi="Calibri" w:cs="Calibri"/>
                <w:kern w:val="0"/>
                <w:lang w:eastAsia="en-GB"/>
                <w14:ligatures w14:val="none"/>
              </w:rPr>
            </w:pPr>
          </w:p>
          <w:p w14:paraId="6958C97B" w14:textId="77777777" w:rsidR="005D6848" w:rsidRPr="005D6848" w:rsidRDefault="005D6848" w:rsidP="005D6848">
            <w:pPr>
              <w:textAlignment w:val="baseline"/>
              <w:rPr>
                <w:rFonts w:ascii="Calibri" w:eastAsia="Times New Roman" w:hAnsi="Calibri" w:cs="Calibri"/>
                <w:kern w:val="0"/>
                <w:lang w:eastAsia="en-GB"/>
                <w14:ligatures w14:val="none"/>
              </w:rPr>
            </w:pPr>
            <w:r w:rsidRPr="005D6848">
              <w:rPr>
                <w:rFonts w:ascii="Calibri" w:eastAsia="Times New Roman" w:hAnsi="Calibri" w:cs="Calibri"/>
                <w:kern w:val="0"/>
                <w:lang w:eastAsia="en-GB"/>
                <w14:ligatures w14:val="none"/>
              </w:rPr>
              <w:t>A review of implementation progress of the Guidance by the banks showed significant progress in integrating climate-related risks in their governance and strategy frameworks. However, most of the banks are at initial stages in respect to risk management and disclosure frameworks. This mainly due to lack of a standardized framework for green finance including definitions of what qualifies as green as well as templates for disclosing and reporting climate-related risk exposures.</w:t>
            </w:r>
          </w:p>
          <w:p w14:paraId="760F614F" w14:textId="77777777" w:rsidR="005D6848" w:rsidRDefault="005D6848" w:rsidP="005D6848">
            <w:pPr>
              <w:textAlignment w:val="baseline"/>
              <w:rPr>
                <w:rFonts w:ascii="Calibri" w:eastAsia="Times New Roman" w:hAnsi="Calibri" w:cs="Calibri"/>
                <w:kern w:val="0"/>
                <w:lang w:eastAsia="en-GB"/>
                <w14:ligatures w14:val="none"/>
              </w:rPr>
            </w:pPr>
            <w:r w:rsidRPr="005D6848">
              <w:rPr>
                <w:rFonts w:ascii="Calibri" w:eastAsia="Times New Roman" w:hAnsi="Calibri" w:cs="Calibri"/>
                <w:kern w:val="0"/>
                <w:lang w:eastAsia="en-GB"/>
                <w14:ligatures w14:val="none"/>
              </w:rPr>
              <w:t>For the financial sector to effectively contribute to implementing the climate change agenda, there is need for a common understanding of what constitutes green finance as well as a standardised disclosure and reporting framework. Accordingly, CBK decided to develop a green finance taxonomy as part of its second-generation reforms on climate-related risk management.</w:t>
            </w:r>
          </w:p>
          <w:p w14:paraId="0D5BE5AC" w14:textId="77777777" w:rsidR="00707377" w:rsidRDefault="00707377" w:rsidP="005D6848">
            <w:pPr>
              <w:textAlignment w:val="baseline"/>
              <w:rPr>
                <w:rFonts w:ascii="Calibri" w:eastAsia="Times New Roman" w:hAnsi="Calibri" w:cs="Calibri"/>
                <w:kern w:val="0"/>
                <w:lang w:eastAsia="en-GB"/>
                <w14:ligatures w14:val="none"/>
              </w:rPr>
            </w:pPr>
          </w:p>
          <w:p w14:paraId="7ECBB951" w14:textId="1B803DB0" w:rsidR="00707377" w:rsidRPr="00707377" w:rsidRDefault="00707377" w:rsidP="0070737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Climate Risk is defined as the</w:t>
            </w:r>
            <w:r w:rsidRPr="00707377">
              <w:rPr>
                <w:rFonts w:ascii="Calibri" w:eastAsia="Times New Roman" w:hAnsi="Calibri" w:cs="Calibri"/>
                <w:kern w:val="0"/>
                <w:lang w:eastAsia="en-GB"/>
                <w14:ligatures w14:val="none"/>
              </w:rPr>
              <w:t xml:space="preserve"> potential negative consequences for societies or ecosystems resulting from the impacts of climate change. These risks can be categorized into two main types:</w:t>
            </w:r>
          </w:p>
          <w:p w14:paraId="68915F4B" w14:textId="1600A0F7" w:rsidR="00707377" w:rsidRPr="00707377" w:rsidRDefault="00707377" w:rsidP="00707377">
            <w:pPr>
              <w:pStyle w:val="ListParagraph"/>
              <w:numPr>
                <w:ilvl w:val="0"/>
                <w:numId w:val="51"/>
              </w:numPr>
              <w:textAlignment w:val="baseline"/>
              <w:rPr>
                <w:rFonts w:ascii="Calibri" w:eastAsia="Times New Roman" w:hAnsi="Calibri" w:cs="Calibri"/>
                <w:kern w:val="0"/>
                <w:lang w:eastAsia="en-GB"/>
                <w14:ligatures w14:val="none"/>
              </w:rPr>
            </w:pPr>
            <w:r w:rsidRPr="00707377">
              <w:rPr>
                <w:rFonts w:ascii="Calibri" w:eastAsia="Times New Roman" w:hAnsi="Calibri" w:cs="Calibri"/>
                <w:b/>
                <w:bCs/>
                <w:kern w:val="0"/>
                <w:lang w:eastAsia="en-GB"/>
                <w14:ligatures w14:val="none"/>
              </w:rPr>
              <w:t>Physical Risks:</w:t>
            </w:r>
            <w:r w:rsidRPr="00707377">
              <w:rPr>
                <w:rFonts w:ascii="Calibri" w:eastAsia="Times New Roman" w:hAnsi="Calibri" w:cs="Calibri"/>
                <w:kern w:val="0"/>
                <w:lang w:eastAsia="en-GB"/>
                <w14:ligatures w14:val="none"/>
              </w:rPr>
              <w:t xml:space="preserve"> These are related to the direct physical impacts of climate change, such as extreme weather events, rising sea levels, and changes in temperature and precipitation patterns.</w:t>
            </w:r>
          </w:p>
          <w:p w14:paraId="76AE4F67" w14:textId="77777777" w:rsidR="00707377" w:rsidRDefault="00707377" w:rsidP="00707377">
            <w:pPr>
              <w:pStyle w:val="ListParagraph"/>
              <w:numPr>
                <w:ilvl w:val="0"/>
                <w:numId w:val="51"/>
              </w:numPr>
              <w:textAlignment w:val="baseline"/>
              <w:rPr>
                <w:rFonts w:ascii="Calibri" w:eastAsia="Times New Roman" w:hAnsi="Calibri" w:cs="Calibri"/>
                <w:kern w:val="0"/>
                <w:lang w:eastAsia="en-GB"/>
                <w14:ligatures w14:val="none"/>
              </w:rPr>
            </w:pPr>
            <w:r w:rsidRPr="00707377">
              <w:rPr>
                <w:rFonts w:ascii="Calibri" w:eastAsia="Times New Roman" w:hAnsi="Calibri" w:cs="Calibri"/>
                <w:b/>
                <w:bCs/>
                <w:kern w:val="0"/>
                <w:lang w:eastAsia="en-GB"/>
                <w14:ligatures w14:val="none"/>
              </w:rPr>
              <w:t>Transition Risks:</w:t>
            </w:r>
            <w:r w:rsidRPr="00707377">
              <w:rPr>
                <w:rFonts w:ascii="Calibri" w:eastAsia="Times New Roman" w:hAnsi="Calibri" w:cs="Calibri"/>
                <w:kern w:val="0"/>
                <w:lang w:eastAsia="en-GB"/>
                <w14:ligatures w14:val="none"/>
              </w:rPr>
              <w:t xml:space="preserve"> These arise from the process of transitioning to a lower-carbon economy, including policy and legal changes, technological advancements, and market shifts. The assessment of climate risk involves </w:t>
            </w:r>
            <w:proofErr w:type="spellStart"/>
            <w:r w:rsidRPr="00707377">
              <w:rPr>
                <w:rFonts w:ascii="Calibri" w:eastAsia="Times New Roman" w:hAnsi="Calibri" w:cs="Calibri"/>
                <w:kern w:val="0"/>
                <w:lang w:eastAsia="en-GB"/>
                <w14:ligatures w14:val="none"/>
              </w:rPr>
              <w:t>analyzing</w:t>
            </w:r>
            <w:proofErr w:type="spellEnd"/>
            <w:r w:rsidRPr="00707377">
              <w:rPr>
                <w:rFonts w:ascii="Calibri" w:eastAsia="Times New Roman" w:hAnsi="Calibri" w:cs="Calibri"/>
                <w:kern w:val="0"/>
                <w:lang w:eastAsia="en-GB"/>
                <w14:ligatures w14:val="none"/>
              </w:rPr>
              <w:t xml:space="preserve"> the likelihood and consequences of these impacts, as well as the vulnerability and exposure of affected systems</w:t>
            </w:r>
          </w:p>
          <w:p w14:paraId="2D7596BF" w14:textId="67B48329" w:rsidR="000970CE" w:rsidRPr="000970CE" w:rsidRDefault="000970CE" w:rsidP="000970C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Page 26 defines m</w:t>
            </w:r>
            <w:r w:rsidRPr="000970CE">
              <w:rPr>
                <w:rFonts w:ascii="Calibri" w:eastAsia="Times New Roman" w:hAnsi="Calibri" w:cs="Calibri"/>
                <w:kern w:val="0"/>
                <w:lang w:eastAsia="en-GB"/>
                <w14:ligatures w14:val="none"/>
              </w:rPr>
              <w:t>aterial physical climate risk is the risk of losses, financial and non-financial, occurring due to performance failures, performance delays or incomplete performance of an economic activity resulting from climate-related hazards. With that in mind, climate change adaptation comprises two types of substantial contribution to adaptation objectives:</w:t>
            </w:r>
          </w:p>
          <w:p w14:paraId="1324F308" w14:textId="56988BBC" w:rsidR="000970CE" w:rsidRPr="000970CE" w:rsidRDefault="000970CE" w:rsidP="000970CE">
            <w:pPr>
              <w:textAlignment w:val="baseline"/>
              <w:rPr>
                <w:rFonts w:ascii="Calibri" w:eastAsia="Times New Roman" w:hAnsi="Calibri" w:cs="Calibri"/>
                <w:kern w:val="0"/>
                <w:lang w:eastAsia="en-GB"/>
                <w14:ligatures w14:val="none"/>
              </w:rPr>
            </w:pPr>
          </w:p>
          <w:p w14:paraId="6F69F0AA" w14:textId="77777777" w:rsidR="000970CE" w:rsidRDefault="000970CE" w:rsidP="000970CE">
            <w:pPr>
              <w:pStyle w:val="ListParagraph"/>
              <w:numPr>
                <w:ilvl w:val="0"/>
                <w:numId w:val="53"/>
              </w:numPr>
              <w:textAlignment w:val="baseline"/>
              <w:rPr>
                <w:rFonts w:ascii="Calibri" w:eastAsia="Times New Roman" w:hAnsi="Calibri" w:cs="Calibri"/>
                <w:kern w:val="0"/>
                <w:lang w:eastAsia="en-GB"/>
                <w14:ligatures w14:val="none"/>
              </w:rPr>
            </w:pPr>
            <w:r w:rsidRPr="000970CE">
              <w:rPr>
                <w:rFonts w:ascii="Calibri" w:eastAsia="Times New Roman" w:hAnsi="Calibri" w:cs="Calibri"/>
                <w:b/>
                <w:bCs/>
                <w:kern w:val="0"/>
                <w:lang w:eastAsia="en-GB"/>
                <w14:ligatures w14:val="none"/>
              </w:rPr>
              <w:t>Adapted activities:</w:t>
            </w:r>
            <w:r w:rsidRPr="000970CE">
              <w:rPr>
                <w:rFonts w:ascii="Calibri" w:eastAsia="Times New Roman" w:hAnsi="Calibri" w:cs="Calibri"/>
                <w:kern w:val="0"/>
                <w:lang w:eastAsia="en-GB"/>
                <w14:ligatures w14:val="none"/>
              </w:rPr>
              <w:t xml:space="preserve"> an economic activity is adapted where it reduces all material physical climate risks identified for the economic activity to the extent possible and on a best effort basis; and/or</w:t>
            </w:r>
          </w:p>
          <w:p w14:paraId="3022D049" w14:textId="77777777" w:rsidR="00046462" w:rsidRDefault="00046462" w:rsidP="000970CE">
            <w:pPr>
              <w:pStyle w:val="ListParagraph"/>
              <w:numPr>
                <w:ilvl w:val="0"/>
                <w:numId w:val="53"/>
              </w:numPr>
              <w:textAlignment w:val="baseline"/>
              <w:rPr>
                <w:rFonts w:ascii="Calibri" w:eastAsia="Times New Roman" w:hAnsi="Calibri" w:cs="Calibri"/>
                <w:kern w:val="0"/>
                <w:lang w:eastAsia="en-GB"/>
                <w14:ligatures w14:val="none"/>
              </w:rPr>
            </w:pPr>
            <w:r w:rsidRPr="00046462">
              <w:rPr>
                <w:rFonts w:ascii="Calibri" w:eastAsia="Times New Roman" w:hAnsi="Calibri" w:cs="Calibri"/>
                <w:b/>
                <w:bCs/>
                <w:kern w:val="0"/>
                <w:lang w:eastAsia="en-GB"/>
                <w14:ligatures w14:val="none"/>
              </w:rPr>
              <w:lastRenderedPageBreak/>
              <w:t>Activities enabling adaptation of an economic activity:</w:t>
            </w:r>
            <w:r w:rsidRPr="00046462">
              <w:rPr>
                <w:rFonts w:ascii="Calibri" w:eastAsia="Times New Roman" w:hAnsi="Calibri" w:cs="Calibri"/>
                <w:kern w:val="0"/>
                <w:lang w:eastAsia="en-GB"/>
                <w14:ligatures w14:val="none"/>
              </w:rPr>
              <w:t xml:space="preserve"> the activity reduces all material physical climate risk in other economic activities and/or addresses systemic barriers to adaptation and is itself also adapted to physical climate risks.</w:t>
            </w:r>
          </w:p>
          <w:p w14:paraId="4DFD134B" w14:textId="6D943832" w:rsidR="00E47FE9" w:rsidRPr="00E47FE9" w:rsidRDefault="00E47FE9" w:rsidP="00E47FE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Page 27 provides </w:t>
            </w:r>
            <w:r w:rsidRPr="00E47FE9">
              <w:rPr>
                <w:rFonts w:ascii="Calibri" w:eastAsia="Times New Roman" w:hAnsi="Calibri" w:cs="Calibri"/>
                <w:kern w:val="0"/>
                <w:lang w:eastAsia="en-GB"/>
                <w14:ligatures w14:val="none"/>
              </w:rPr>
              <w:t>Guidance for identifying substantial contributions to climate change adaptation</w:t>
            </w:r>
            <w:r>
              <w:rPr>
                <w:rFonts w:ascii="Calibri" w:eastAsia="Times New Roman" w:hAnsi="Calibri" w:cs="Calibri"/>
                <w:kern w:val="0"/>
                <w:lang w:eastAsia="en-GB"/>
                <w14:ligatures w14:val="none"/>
              </w:rPr>
              <w:t xml:space="preserve"> and the f</w:t>
            </w:r>
            <w:r w:rsidRPr="00E47FE9">
              <w:rPr>
                <w:rFonts w:ascii="Calibri" w:eastAsia="Times New Roman" w:hAnsi="Calibri" w:cs="Calibri"/>
                <w:kern w:val="0"/>
                <w:lang w:eastAsia="en-GB"/>
                <w14:ligatures w14:val="none"/>
              </w:rPr>
              <w:t>ollowing guidance is proposed to identify an economic activity that substantially contributes to climate change adaptation:</w:t>
            </w:r>
          </w:p>
          <w:p w14:paraId="438F9D73" w14:textId="54E61CFE" w:rsidR="001F5A06" w:rsidRPr="001F5A06" w:rsidRDefault="00E47FE9" w:rsidP="001F5A06">
            <w:pPr>
              <w:pStyle w:val="ListParagraph"/>
              <w:numPr>
                <w:ilvl w:val="0"/>
                <w:numId w:val="54"/>
              </w:numPr>
              <w:textAlignment w:val="baseline"/>
              <w:rPr>
                <w:rFonts w:ascii="Calibri" w:eastAsia="Times New Roman" w:hAnsi="Calibri" w:cs="Calibri"/>
                <w:kern w:val="0"/>
                <w:lang w:eastAsia="en-GB"/>
                <w14:ligatures w14:val="none"/>
              </w:rPr>
            </w:pPr>
            <w:r w:rsidRPr="00E47FE9">
              <w:rPr>
                <w:rFonts w:ascii="Calibri" w:eastAsia="Times New Roman" w:hAnsi="Calibri" w:cs="Calibri"/>
                <w:kern w:val="0"/>
                <w:lang w:eastAsia="en-GB"/>
                <w14:ligatures w14:val="none"/>
              </w:rPr>
              <w:t xml:space="preserve">The economic activity reduces all material physical climate risk exposure. In the case of an adapted economic activity, the activity integrates measures aimed at reducing all material physical climate risk exposure to that activity as identified through a vulnerability assessment of material risks posed by both current weather variability and expected future climate change. The assessment should </w:t>
            </w:r>
            <w:proofErr w:type="gramStart"/>
            <w:r w:rsidRPr="00E47FE9">
              <w:rPr>
                <w:rFonts w:ascii="Calibri" w:eastAsia="Times New Roman" w:hAnsi="Calibri" w:cs="Calibri"/>
                <w:kern w:val="0"/>
                <w:lang w:eastAsia="en-GB"/>
                <w14:ligatures w14:val="none"/>
              </w:rPr>
              <w:t>take into account</w:t>
            </w:r>
            <w:proofErr w:type="gramEnd"/>
            <w:r w:rsidRPr="00E47FE9">
              <w:rPr>
                <w:rFonts w:ascii="Calibri" w:eastAsia="Times New Roman" w:hAnsi="Calibri" w:cs="Calibri"/>
                <w:kern w:val="0"/>
                <w:lang w:eastAsia="en-GB"/>
                <w14:ligatures w14:val="none"/>
              </w:rPr>
              <w:t xml:space="preserve"> chronic and acute climate-related hazards and associated</w:t>
            </w:r>
            <w:r w:rsidR="001F5A06">
              <w:rPr>
                <w:rFonts w:ascii="Calibri" w:eastAsia="Times New Roman" w:hAnsi="Calibri" w:cs="Calibri"/>
                <w:kern w:val="0"/>
                <w:lang w:eastAsia="en-GB"/>
                <w14:ligatures w14:val="none"/>
              </w:rPr>
              <w:t xml:space="preserve"> </w:t>
            </w:r>
            <w:r w:rsidR="001F5A06" w:rsidRPr="001F5A06">
              <w:rPr>
                <w:rFonts w:ascii="Calibri" w:eastAsia="Times New Roman" w:hAnsi="Calibri" w:cs="Calibri"/>
                <w:kern w:val="0"/>
                <w:lang w:eastAsia="en-GB"/>
                <w14:ligatures w14:val="none"/>
              </w:rPr>
              <w:t>physical climate risks across a range of scenarios, and account for uncertainty. It should</w:t>
            </w:r>
            <w:r w:rsidR="001F5A06">
              <w:rPr>
                <w:rFonts w:ascii="Calibri" w:eastAsia="Times New Roman" w:hAnsi="Calibri" w:cs="Calibri"/>
                <w:kern w:val="0"/>
                <w:lang w:eastAsia="en-GB"/>
                <w14:ligatures w14:val="none"/>
              </w:rPr>
              <w:t xml:space="preserve"> </w:t>
            </w:r>
            <w:r w:rsidR="001F5A06" w:rsidRPr="001F5A06">
              <w:rPr>
                <w:rFonts w:ascii="Calibri" w:eastAsia="Times New Roman" w:hAnsi="Calibri" w:cs="Calibri"/>
                <w:kern w:val="0"/>
                <w:lang w:eastAsia="en-GB"/>
                <w14:ligatures w14:val="none"/>
              </w:rPr>
              <w:t>consider geographic and temporal scales that are deemed appropriate for the economic activity.</w:t>
            </w:r>
          </w:p>
          <w:p w14:paraId="77981B9E" w14:textId="1AF32061" w:rsidR="001F5A06" w:rsidRPr="001F5A06" w:rsidRDefault="001F5A06" w:rsidP="001F5A06">
            <w:pPr>
              <w:pStyle w:val="ListParagraph"/>
              <w:textAlignment w:val="baseline"/>
              <w:rPr>
                <w:rFonts w:ascii="Calibri" w:eastAsia="Times New Roman" w:hAnsi="Calibri" w:cs="Calibri"/>
                <w:kern w:val="0"/>
                <w:lang w:eastAsia="en-GB"/>
                <w14:ligatures w14:val="none"/>
              </w:rPr>
            </w:pPr>
          </w:p>
          <w:p w14:paraId="21686A3F" w14:textId="77777777" w:rsidR="001F5A06" w:rsidRPr="001F5A06" w:rsidRDefault="001F5A06" w:rsidP="001F5A06">
            <w:pPr>
              <w:pStyle w:val="ListParagraph"/>
              <w:numPr>
                <w:ilvl w:val="0"/>
                <w:numId w:val="54"/>
              </w:numPr>
              <w:textAlignment w:val="baseline"/>
              <w:rPr>
                <w:rFonts w:ascii="Calibri" w:eastAsia="Times New Roman" w:hAnsi="Calibri" w:cs="Calibri"/>
                <w:kern w:val="0"/>
                <w:lang w:eastAsia="en-GB"/>
                <w14:ligatures w14:val="none"/>
              </w:rPr>
            </w:pPr>
            <w:r w:rsidRPr="001F5A06">
              <w:rPr>
                <w:rFonts w:ascii="Calibri" w:eastAsia="Times New Roman" w:hAnsi="Calibri" w:cs="Calibri"/>
                <w:kern w:val="0"/>
                <w:lang w:eastAsia="en-GB"/>
                <w14:ligatures w14:val="none"/>
              </w:rPr>
              <w:t>In the case of an economic activity enabling adaptation, the activity reduces material risks to other economic activities and/or addresses systemic barriers to adaptation, for example through a dedicated asset, technology, service or product, and itself integrates measures aimed at reducing material risks where applicable (e.g. in the case of a dedicated asset).</w:t>
            </w:r>
          </w:p>
          <w:p w14:paraId="3DC0B174" w14:textId="7C2DF67C" w:rsidR="001F5A06" w:rsidRPr="001F5A06" w:rsidRDefault="001F5A06" w:rsidP="001F5A06">
            <w:pPr>
              <w:pStyle w:val="ListParagraph"/>
              <w:textAlignment w:val="baseline"/>
              <w:rPr>
                <w:rFonts w:ascii="Calibri" w:eastAsia="Times New Roman" w:hAnsi="Calibri" w:cs="Calibri"/>
                <w:kern w:val="0"/>
                <w:lang w:eastAsia="en-GB"/>
                <w14:ligatures w14:val="none"/>
              </w:rPr>
            </w:pPr>
          </w:p>
          <w:p w14:paraId="24647C52" w14:textId="77777777" w:rsidR="001F5A06" w:rsidRPr="001F5A06" w:rsidRDefault="001F5A06" w:rsidP="001F5A06">
            <w:pPr>
              <w:pStyle w:val="ListParagraph"/>
              <w:numPr>
                <w:ilvl w:val="0"/>
                <w:numId w:val="54"/>
              </w:numPr>
              <w:textAlignment w:val="baseline"/>
              <w:rPr>
                <w:rFonts w:ascii="Calibri" w:eastAsia="Times New Roman" w:hAnsi="Calibri" w:cs="Calibri"/>
                <w:kern w:val="0"/>
                <w:lang w:eastAsia="en-GB"/>
                <w14:ligatures w14:val="none"/>
              </w:rPr>
            </w:pPr>
            <w:r w:rsidRPr="001F5A06">
              <w:rPr>
                <w:rFonts w:ascii="Calibri" w:eastAsia="Times New Roman" w:hAnsi="Calibri" w:cs="Calibri"/>
                <w:kern w:val="0"/>
                <w:lang w:eastAsia="en-GB"/>
                <w14:ligatures w14:val="none"/>
              </w:rPr>
              <w:t>The economic activity does not adversely affect adaptation efforts by others. Economic activities and the measures taken to address the material climate risks facing those activities should be consistent with adaptation needs in the applicable sector or region, considering opportunities to build resilience outside of the premises of a single activity. Those measures should also not increase the risk of an adverse impact on other people, nature and assets in terms of hindering adaptation efforts by others for example by shifting impacts faced by others</w:t>
            </w:r>
          </w:p>
          <w:p w14:paraId="3E020CB6" w14:textId="0A55FDAB" w:rsidR="001F5A06" w:rsidRPr="001F5A06" w:rsidRDefault="001F5A06" w:rsidP="001F5A06">
            <w:pPr>
              <w:pStyle w:val="ListParagraph"/>
              <w:textAlignment w:val="baseline"/>
              <w:rPr>
                <w:rFonts w:ascii="Calibri" w:eastAsia="Times New Roman" w:hAnsi="Calibri" w:cs="Calibri"/>
                <w:kern w:val="0"/>
                <w:lang w:eastAsia="en-GB"/>
                <w14:ligatures w14:val="none"/>
              </w:rPr>
            </w:pPr>
          </w:p>
          <w:p w14:paraId="16A540CC" w14:textId="77777777" w:rsidR="00E47FE9" w:rsidRDefault="001F5A06" w:rsidP="001F5A06">
            <w:pPr>
              <w:pStyle w:val="ListParagraph"/>
              <w:numPr>
                <w:ilvl w:val="0"/>
                <w:numId w:val="54"/>
              </w:numPr>
              <w:textAlignment w:val="baseline"/>
              <w:rPr>
                <w:rFonts w:ascii="Calibri" w:eastAsia="Times New Roman" w:hAnsi="Calibri" w:cs="Calibri"/>
                <w:kern w:val="0"/>
                <w:lang w:eastAsia="en-GB"/>
                <w14:ligatures w14:val="none"/>
              </w:rPr>
            </w:pPr>
            <w:r w:rsidRPr="001F5A06">
              <w:rPr>
                <w:rFonts w:ascii="Calibri" w:eastAsia="Times New Roman" w:hAnsi="Calibri" w:cs="Calibri"/>
                <w:kern w:val="0"/>
                <w:lang w:eastAsia="en-GB"/>
                <w14:ligatures w14:val="none"/>
              </w:rPr>
              <w:t>The economic activity has adaptation-related outcomes that can be defined and measured using adequate indicators. When possible, the outcomes of adaptation activities should be monitored and measured against defined indicators for adaptation results. If possible, updated assessments of physical climate risks should be undertaken at the appropriate frequency (e.g. every five or ten years) depending on the risks, the context and the availability of new information, technologies or approaches or policies and regulations.</w:t>
            </w:r>
          </w:p>
          <w:p w14:paraId="5CB39B8A" w14:textId="77777777" w:rsidR="00F22996" w:rsidRPr="00F22996" w:rsidRDefault="00F22996" w:rsidP="00F22996">
            <w:pPr>
              <w:pStyle w:val="ListParagraph"/>
              <w:rPr>
                <w:rFonts w:ascii="Calibri" w:eastAsia="Times New Roman" w:hAnsi="Calibri" w:cs="Calibri"/>
                <w:kern w:val="0"/>
                <w:lang w:eastAsia="en-GB"/>
                <w14:ligatures w14:val="none"/>
              </w:rPr>
            </w:pPr>
          </w:p>
          <w:p w14:paraId="39FC6AFA" w14:textId="0CBE7231" w:rsidR="00F22996" w:rsidRPr="00F22996" w:rsidRDefault="00F22996" w:rsidP="00F2299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Finally, chapter 8.2 outlines </w:t>
            </w:r>
            <w:r w:rsidRPr="00F22996">
              <w:rPr>
                <w:rFonts w:ascii="Calibri" w:eastAsia="Times New Roman" w:hAnsi="Calibri" w:cs="Calibri"/>
                <w:kern w:val="0"/>
                <w:lang w:eastAsia="en-GB"/>
                <w14:ligatures w14:val="none"/>
              </w:rPr>
              <w:t>Screening criteria for activities Making a Substantial Contribution to climate change adaptation</w:t>
            </w:r>
            <w:r>
              <w:rPr>
                <w:rFonts w:ascii="Calibri" w:eastAsia="Times New Roman" w:hAnsi="Calibri" w:cs="Calibri"/>
                <w:kern w:val="0"/>
                <w:lang w:eastAsia="en-GB"/>
                <w14:ligatures w14:val="none"/>
              </w:rPr>
              <w:t xml:space="preserve">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222EA852" w:rsidR="008C4722" w:rsidRPr="00CF2E7C" w:rsidRDefault="00983EE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72FC2781" w:rsidR="007B7DEE" w:rsidRPr="00CF2E7C" w:rsidRDefault="00983EE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4E847846" w:rsidR="00ED7E12" w:rsidRPr="00CF2E7C" w:rsidRDefault="00983EE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lastRenderedPageBreak/>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5BD0859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34546">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69A2C32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34546">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2426B22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34546">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B8E227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34546">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16CE13D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34546">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ADAFCE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34546">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286D9DA7" w:rsidR="00A80131" w:rsidRPr="00CF2E7C" w:rsidRDefault="00B345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Page 39 records that the</w:t>
            </w:r>
            <w:r w:rsidRPr="00B34546">
              <w:rPr>
                <w:rFonts w:ascii="Calibri" w:eastAsia="Times New Roman" w:hAnsi="Calibri" w:cs="Calibri"/>
                <w:kern w:val="0"/>
                <w:lang w:eastAsia="en-GB"/>
                <w14:ligatures w14:val="none"/>
              </w:rPr>
              <w:t xml:space="preserve"> application of the </w:t>
            </w:r>
            <w:r>
              <w:rPr>
                <w:rFonts w:ascii="Calibri" w:eastAsia="Times New Roman" w:hAnsi="Calibri" w:cs="Calibri"/>
                <w:kern w:val="0"/>
                <w:lang w:eastAsia="en-GB"/>
                <w14:ligatures w14:val="none"/>
              </w:rPr>
              <w:t>technical screening criteria</w:t>
            </w:r>
            <w:r w:rsidRPr="00B34546">
              <w:rPr>
                <w:rFonts w:ascii="Calibri" w:eastAsia="Times New Roman" w:hAnsi="Calibri" w:cs="Calibri"/>
                <w:kern w:val="0"/>
                <w:lang w:eastAsia="en-GB"/>
                <w14:ligatures w14:val="none"/>
              </w:rPr>
              <w:t xml:space="preserve"> within banking sector portfolios and the reporting of results should consider internal materiality thresholds as linked to the bank’s transition planning framework guided by climate risk best practice and requirements. The KGFT is to be a foundational tool for Kenya’s climate finance regulatory system, its application to be guided by banks’ internal strategies and other tools in the regulatory system. The KGFT itself is agnostic and does not aim to prescribe its use case.</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7DF198B2" w:rsidR="00C82860" w:rsidRPr="00CF2E7C" w:rsidRDefault="00853D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387BD655"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1719D632" w:rsidR="00C82860" w:rsidRPr="00CF2E7C" w:rsidRDefault="00853D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Refer to discussion relating to Page 27</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553B0405" w:rsidR="00C82860" w:rsidRPr="00CF2E7C" w:rsidRDefault="00853D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21F3CC67" w:rsidR="00C82860" w:rsidRPr="00CF2E7C" w:rsidRDefault="00853D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Refer to discussion relating to Page</w:t>
            </w:r>
            <w:r>
              <w:rPr>
                <w:rFonts w:ascii="Calibri" w:eastAsia="Times New Roman" w:hAnsi="Calibri" w:cs="Calibri"/>
                <w:kern w:val="0"/>
                <w:lang w:eastAsia="en-GB"/>
                <w14:ligatures w14:val="none"/>
              </w:rPr>
              <w:t>s 26 and</w:t>
            </w:r>
            <w:r>
              <w:rPr>
                <w:rFonts w:ascii="Calibri" w:eastAsia="Times New Roman" w:hAnsi="Calibri" w:cs="Calibri"/>
                <w:kern w:val="0"/>
                <w:lang w:eastAsia="en-GB"/>
                <w14:ligatures w14:val="none"/>
              </w:rPr>
              <w:t xml:space="preserve"> 27</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20F545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53D00">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7C6C1DF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53D00">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C7BE7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53D00">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BE3AF2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53D00">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28C45586" w:rsidR="00655FF7" w:rsidRPr="00CF2E7C" w:rsidRDefault="00853D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2CF21779"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5E7B456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53D00">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3A22BFC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53D00">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62245869" w:rsidR="00F26296" w:rsidRPr="00CF2E7C" w:rsidRDefault="00853D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27609E8B" w:rsidR="00B114FD" w:rsidRPr="00CF2E7C" w:rsidRDefault="00853D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40AF11A3" w:rsidR="00B114FD" w:rsidRPr="00CF2E7C" w:rsidRDefault="00853D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39921E56"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36B20E49" w:rsidR="00FE0EA5" w:rsidRPr="009C4D10" w:rsidRDefault="00FE0EA5" w:rsidP="00CF2E7C">
            <w:pPr>
              <w:rPr>
                <w:rFonts w:cstheme="minorHAnsi"/>
              </w:rPr>
            </w:pPr>
            <w:r w:rsidRPr="009C4D10">
              <w:rPr>
                <w:rFonts w:cstheme="minorHAnsi"/>
                <w:lang w:val="en-SG"/>
              </w:rPr>
              <w:t> </w:t>
            </w:r>
            <w:r w:rsidRPr="009C4D10">
              <w:rPr>
                <w:rFonts w:cstheme="minorHAnsi"/>
              </w:rPr>
              <w:t> </w:t>
            </w:r>
            <w:r w:rsidR="00853D00">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1A040675" w:rsidR="00FE0EA5" w:rsidRPr="009C4D10" w:rsidRDefault="00FE0EA5" w:rsidP="00CF2E7C">
            <w:pPr>
              <w:rPr>
                <w:rFonts w:cstheme="minorHAnsi"/>
              </w:rPr>
            </w:pPr>
            <w:r w:rsidRPr="009C4D10">
              <w:rPr>
                <w:rFonts w:cstheme="minorHAnsi"/>
                <w:lang w:val="en-SG"/>
              </w:rPr>
              <w:t> </w:t>
            </w:r>
            <w:r w:rsidRPr="009C4D10">
              <w:rPr>
                <w:rFonts w:cstheme="minorHAnsi"/>
              </w:rPr>
              <w:t> </w:t>
            </w:r>
            <w:r w:rsidR="00853D00">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63B0E027" w:rsidR="00FE0EA5" w:rsidRPr="009C4D10" w:rsidRDefault="00FE0EA5" w:rsidP="00CF2E7C">
            <w:pPr>
              <w:rPr>
                <w:rFonts w:cstheme="minorHAnsi"/>
              </w:rPr>
            </w:pPr>
            <w:r w:rsidRPr="009C4D10">
              <w:rPr>
                <w:rFonts w:cstheme="minorHAnsi"/>
                <w:lang w:val="en-SG"/>
              </w:rPr>
              <w:t> </w:t>
            </w:r>
            <w:r w:rsidRPr="009C4D10">
              <w:rPr>
                <w:rFonts w:cstheme="minorHAnsi"/>
              </w:rPr>
              <w:t> </w:t>
            </w:r>
            <w:r w:rsidR="00853D00">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31982630" w:rsidR="00FE0EA5" w:rsidRPr="009C4D10" w:rsidRDefault="00FE0EA5" w:rsidP="00CF2E7C">
            <w:pPr>
              <w:rPr>
                <w:rFonts w:cstheme="minorHAnsi"/>
              </w:rPr>
            </w:pPr>
            <w:r w:rsidRPr="009C4D10">
              <w:rPr>
                <w:rFonts w:cstheme="minorHAnsi"/>
                <w:lang w:val="en-SG"/>
              </w:rPr>
              <w:t> </w:t>
            </w:r>
            <w:r w:rsidRPr="009C4D10">
              <w:rPr>
                <w:rFonts w:cstheme="minorHAnsi"/>
              </w:rPr>
              <w:t> </w:t>
            </w:r>
            <w:r w:rsidR="0068427B">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5FDDEDB3" w:rsidR="00FE0EA5" w:rsidRPr="009C4D10" w:rsidRDefault="00FE0EA5" w:rsidP="00CF2E7C">
            <w:pPr>
              <w:rPr>
                <w:rFonts w:cstheme="minorHAnsi"/>
              </w:rPr>
            </w:pPr>
            <w:r w:rsidRPr="009C4D10">
              <w:rPr>
                <w:rFonts w:cstheme="minorHAnsi"/>
                <w:lang w:val="en-SG"/>
              </w:rPr>
              <w:t> </w:t>
            </w:r>
            <w:r w:rsidRPr="009C4D10">
              <w:rPr>
                <w:rFonts w:cstheme="minorHAnsi"/>
              </w:rPr>
              <w:t> </w:t>
            </w:r>
            <w:r w:rsidR="0068427B">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688CBBFE" w:rsidR="00FE0EA5" w:rsidRPr="009C4D10" w:rsidRDefault="00FE0EA5" w:rsidP="00CF2E7C">
            <w:pPr>
              <w:rPr>
                <w:rFonts w:cstheme="minorHAnsi"/>
              </w:rPr>
            </w:pPr>
            <w:r w:rsidRPr="009C4D10">
              <w:rPr>
                <w:rFonts w:cstheme="minorHAnsi"/>
              </w:rPr>
              <w:t>  </w:t>
            </w:r>
            <w:r w:rsidR="0068427B">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2E0AE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698548" w14:textId="77777777" w:rsidR="00EC6369" w:rsidRDefault="00EC6369" w:rsidP="00874E39">
      <w:r>
        <w:separator/>
      </w:r>
    </w:p>
  </w:endnote>
  <w:endnote w:type="continuationSeparator" w:id="0">
    <w:p w14:paraId="4E97C32F" w14:textId="77777777" w:rsidR="00EC6369" w:rsidRDefault="00EC6369" w:rsidP="00874E39">
      <w:r>
        <w:continuationSeparator/>
      </w:r>
    </w:p>
  </w:endnote>
  <w:endnote w:type="continuationNotice" w:id="1">
    <w:p w14:paraId="2163DD10" w14:textId="77777777" w:rsidR="00EC6369" w:rsidRDefault="00EC636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38D6EF" w14:textId="77777777" w:rsidR="00EC6369" w:rsidRDefault="00EC6369" w:rsidP="00874E39">
      <w:r>
        <w:separator/>
      </w:r>
    </w:p>
  </w:footnote>
  <w:footnote w:type="continuationSeparator" w:id="0">
    <w:p w14:paraId="0C9259C9" w14:textId="77777777" w:rsidR="00EC6369" w:rsidRDefault="00EC6369" w:rsidP="00874E39">
      <w:r>
        <w:continuationSeparator/>
      </w:r>
    </w:p>
  </w:footnote>
  <w:footnote w:type="continuationNotice" w:id="1">
    <w:p w14:paraId="28E9A89E" w14:textId="77777777" w:rsidR="00EC6369" w:rsidRDefault="00EC636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D9D3B8D"/>
    <w:multiLevelType w:val="hybridMultilevel"/>
    <w:tmpl w:val="B778EED6"/>
    <w:lvl w:ilvl="0" w:tplc="23BA1A9C">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37D7FDD"/>
    <w:multiLevelType w:val="hybridMultilevel"/>
    <w:tmpl w:val="2CE48F62"/>
    <w:lvl w:ilvl="0" w:tplc="23BA1A9C">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97A338F"/>
    <w:multiLevelType w:val="hybridMultilevel"/>
    <w:tmpl w:val="74705F14"/>
    <w:lvl w:ilvl="0" w:tplc="23BA1A9C">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B45D78"/>
    <w:multiLevelType w:val="hybridMultilevel"/>
    <w:tmpl w:val="0D9C94D2"/>
    <w:lvl w:ilvl="0" w:tplc="23BA1A9C">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A6915C2"/>
    <w:multiLevelType w:val="hybridMultilevel"/>
    <w:tmpl w:val="F1ACF0F8"/>
    <w:lvl w:ilvl="0" w:tplc="5C409AF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3" w15:restartNumberingAfterBreak="0">
    <w:nsid w:val="7F9B249E"/>
    <w:multiLevelType w:val="hybridMultilevel"/>
    <w:tmpl w:val="D1066C82"/>
    <w:lvl w:ilvl="0" w:tplc="23BA1A9C">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80666882">
    <w:abstractNumId w:val="17"/>
  </w:num>
  <w:num w:numId="2" w16cid:durableId="482308869">
    <w:abstractNumId w:val="26"/>
  </w:num>
  <w:num w:numId="3" w16cid:durableId="690952733">
    <w:abstractNumId w:val="45"/>
  </w:num>
  <w:num w:numId="4" w16cid:durableId="1689330127">
    <w:abstractNumId w:val="1"/>
  </w:num>
  <w:num w:numId="5" w16cid:durableId="401291788">
    <w:abstractNumId w:val="32"/>
  </w:num>
  <w:num w:numId="6" w16cid:durableId="1276788690">
    <w:abstractNumId w:val="14"/>
  </w:num>
  <w:num w:numId="7" w16cid:durableId="566767730">
    <w:abstractNumId w:val="23"/>
  </w:num>
  <w:num w:numId="8" w16cid:durableId="1780710843">
    <w:abstractNumId w:val="38"/>
  </w:num>
  <w:num w:numId="9" w16cid:durableId="1685783054">
    <w:abstractNumId w:val="3"/>
  </w:num>
  <w:num w:numId="10" w16cid:durableId="950551298">
    <w:abstractNumId w:val="35"/>
  </w:num>
  <w:num w:numId="11" w16cid:durableId="1591960799">
    <w:abstractNumId w:val="52"/>
  </w:num>
  <w:num w:numId="12" w16cid:durableId="1344891410">
    <w:abstractNumId w:val="9"/>
  </w:num>
  <w:num w:numId="13" w16cid:durableId="2023899324">
    <w:abstractNumId w:val="12"/>
  </w:num>
  <w:num w:numId="14" w16cid:durableId="430587014">
    <w:abstractNumId w:val="7"/>
  </w:num>
  <w:num w:numId="15" w16cid:durableId="1742869061">
    <w:abstractNumId w:val="34"/>
  </w:num>
  <w:num w:numId="16" w16cid:durableId="1996450437">
    <w:abstractNumId w:val="21"/>
  </w:num>
  <w:num w:numId="17" w16cid:durableId="1529031027">
    <w:abstractNumId w:val="8"/>
  </w:num>
  <w:num w:numId="18" w16cid:durableId="568614617">
    <w:abstractNumId w:val="19"/>
  </w:num>
  <w:num w:numId="19" w16cid:durableId="1530605858">
    <w:abstractNumId w:val="47"/>
  </w:num>
  <w:num w:numId="20" w16cid:durableId="1328172586">
    <w:abstractNumId w:val="16"/>
  </w:num>
  <w:num w:numId="21" w16cid:durableId="184827816">
    <w:abstractNumId w:val="31"/>
  </w:num>
  <w:num w:numId="22" w16cid:durableId="1785346599">
    <w:abstractNumId w:val="37"/>
  </w:num>
  <w:num w:numId="23" w16cid:durableId="1294288901">
    <w:abstractNumId w:val="30"/>
  </w:num>
  <w:num w:numId="24" w16cid:durableId="1603957975">
    <w:abstractNumId w:val="49"/>
  </w:num>
  <w:num w:numId="25" w16cid:durableId="1659531047">
    <w:abstractNumId w:val="48"/>
  </w:num>
  <w:num w:numId="26" w16cid:durableId="752774403">
    <w:abstractNumId w:val="25"/>
  </w:num>
  <w:num w:numId="27" w16cid:durableId="347872198">
    <w:abstractNumId w:val="6"/>
  </w:num>
  <w:num w:numId="28" w16cid:durableId="537133110">
    <w:abstractNumId w:val="13"/>
  </w:num>
  <w:num w:numId="29" w16cid:durableId="1632318729">
    <w:abstractNumId w:val="50"/>
  </w:num>
  <w:num w:numId="30" w16cid:durableId="1268124074">
    <w:abstractNumId w:val="36"/>
  </w:num>
  <w:num w:numId="31" w16cid:durableId="887108748">
    <w:abstractNumId w:val="33"/>
  </w:num>
  <w:num w:numId="32" w16cid:durableId="1826125712">
    <w:abstractNumId w:val="39"/>
  </w:num>
  <w:num w:numId="33" w16cid:durableId="823357978">
    <w:abstractNumId w:val="43"/>
  </w:num>
  <w:num w:numId="34" w16cid:durableId="1092120443">
    <w:abstractNumId w:val="42"/>
  </w:num>
  <w:num w:numId="35" w16cid:durableId="124861188">
    <w:abstractNumId w:val="11"/>
  </w:num>
  <w:num w:numId="36" w16cid:durableId="1952588250">
    <w:abstractNumId w:val="41"/>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4"/>
  </w:num>
  <w:num w:numId="46" w16cid:durableId="947811845">
    <w:abstractNumId w:val="51"/>
  </w:num>
  <w:num w:numId="47" w16cid:durableId="342588554">
    <w:abstractNumId w:val="29"/>
  </w:num>
  <w:num w:numId="48" w16cid:durableId="318391343">
    <w:abstractNumId w:val="40"/>
  </w:num>
  <w:num w:numId="49" w16cid:durableId="741682286">
    <w:abstractNumId w:val="18"/>
  </w:num>
  <w:num w:numId="50" w16cid:durableId="339896794">
    <w:abstractNumId w:val="10"/>
  </w:num>
  <w:num w:numId="51" w16cid:durableId="426854536">
    <w:abstractNumId w:val="28"/>
  </w:num>
  <w:num w:numId="52" w16cid:durableId="760637537">
    <w:abstractNumId w:val="46"/>
  </w:num>
  <w:num w:numId="53" w16cid:durableId="1826387536">
    <w:abstractNumId w:val="22"/>
  </w:num>
  <w:num w:numId="54" w16cid:durableId="1041706983">
    <w:abstractNumId w:val="5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304"/>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462"/>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70CE"/>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0946"/>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5E11"/>
    <w:rsid w:val="001C614E"/>
    <w:rsid w:val="001C669F"/>
    <w:rsid w:val="001D03D3"/>
    <w:rsid w:val="001D10A8"/>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A0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3C6"/>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019"/>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6B8"/>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AE3"/>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8D3"/>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C60"/>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5B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6848"/>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2DEF"/>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37D"/>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27B"/>
    <w:rsid w:val="00685A4F"/>
    <w:rsid w:val="006878AC"/>
    <w:rsid w:val="00690B2A"/>
    <w:rsid w:val="006936EF"/>
    <w:rsid w:val="006937DF"/>
    <w:rsid w:val="006943E9"/>
    <w:rsid w:val="00695F64"/>
    <w:rsid w:val="00696548"/>
    <w:rsid w:val="00696D68"/>
    <w:rsid w:val="006A00E0"/>
    <w:rsid w:val="006A103A"/>
    <w:rsid w:val="006A2168"/>
    <w:rsid w:val="006A21C6"/>
    <w:rsid w:val="006A308E"/>
    <w:rsid w:val="006A3518"/>
    <w:rsid w:val="006A4B5E"/>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1B5"/>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377"/>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2A5"/>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D00"/>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426"/>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3B39"/>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3EE9"/>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9B3"/>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2BA8"/>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4546"/>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16A8"/>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28C5"/>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48"/>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6C7"/>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7FE9"/>
    <w:rsid w:val="00E50761"/>
    <w:rsid w:val="00E509D9"/>
    <w:rsid w:val="00E50B13"/>
    <w:rsid w:val="00E51B16"/>
    <w:rsid w:val="00E554A3"/>
    <w:rsid w:val="00E56917"/>
    <w:rsid w:val="00E573C2"/>
    <w:rsid w:val="00E579FC"/>
    <w:rsid w:val="00E57C68"/>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6DC"/>
    <w:rsid w:val="00EC079D"/>
    <w:rsid w:val="00EC0AB2"/>
    <w:rsid w:val="00EC24B4"/>
    <w:rsid w:val="00EC2AE7"/>
    <w:rsid w:val="00EC2EDF"/>
    <w:rsid w:val="00EC42A1"/>
    <w:rsid w:val="00EC523C"/>
    <w:rsid w:val="00EC6369"/>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996"/>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114</Pages>
  <Words>23278</Words>
  <Characters>132690</Characters>
  <Application>Microsoft Office Word</Application>
  <DocSecurity>0</DocSecurity>
  <Lines>1105</Lines>
  <Paragraphs>311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EMSI</cp:lastModifiedBy>
  <cp:revision>22</cp:revision>
  <cp:lastPrinted>2025-03-21T00:14:00Z</cp:lastPrinted>
  <dcterms:created xsi:type="dcterms:W3CDTF">2025-07-19T13:19:00Z</dcterms:created>
  <dcterms:modified xsi:type="dcterms:W3CDTF">2025-07-19T14:29:00Z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